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E" w:rsidRDefault="000B7936" w:rsidP="000B7936">
      <w:pPr>
        <w:jc w:val="center"/>
        <w:rPr>
          <w:rFonts w:ascii="Times New Roman" w:hAnsi="Times New Roman" w:cs="Times New Roman"/>
          <w:sz w:val="32"/>
          <w:szCs w:val="32"/>
        </w:rPr>
      </w:pPr>
      <w:r w:rsidRPr="000B7936">
        <w:rPr>
          <w:rFonts w:ascii="Times New Roman" w:hAnsi="Times New Roman" w:cs="Times New Roman"/>
          <w:sz w:val="32"/>
          <w:szCs w:val="32"/>
        </w:rPr>
        <w:t>Turns Ratio</w:t>
      </w:r>
      <w:r>
        <w:rPr>
          <w:rFonts w:ascii="Times New Roman" w:hAnsi="Times New Roman" w:cs="Times New Roman"/>
          <w:sz w:val="32"/>
          <w:szCs w:val="32"/>
        </w:rPr>
        <w:t xml:space="preserve"> of a Transformer</w:t>
      </w:r>
    </w:p>
    <w:p w:rsidR="00000000" w:rsidRPr="000B7936" w:rsidRDefault="00765F60" w:rsidP="000B79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936">
        <w:rPr>
          <w:rFonts w:ascii="Times New Roman" w:hAnsi="Times New Roman" w:cs="Times New Roman"/>
          <w:sz w:val="24"/>
          <w:szCs w:val="24"/>
        </w:rPr>
        <w:t>The changing flux due to the impressed alternating current will induce a voltage E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 in the primary. If we neglect the resistance voltage drop, E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 will be exactly equal and opposite to the impressed voltage</w:t>
      </w:r>
      <w:r w:rsidRPr="000B7936">
        <w:rPr>
          <w:rFonts w:ascii="Times New Roman" w:hAnsi="Times New Roman" w:cs="Times New Roman"/>
          <w:sz w:val="24"/>
          <w:szCs w:val="24"/>
        </w:rPr>
        <w:t xml:space="preserve"> V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936" w:rsidRPr="000B7936" w:rsidRDefault="000B7936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>V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 = - E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 </w:t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  <w:t>-------------------- (1)</w:t>
      </w:r>
    </w:p>
    <w:p w:rsidR="00000000" w:rsidRPr="000B7936" w:rsidRDefault="00765F60" w:rsidP="000B793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936">
        <w:rPr>
          <w:rFonts w:ascii="Times New Roman" w:hAnsi="Times New Roman" w:cs="Times New Roman"/>
          <w:sz w:val="24"/>
          <w:szCs w:val="24"/>
        </w:rPr>
        <w:t xml:space="preserve">Again, by </w:t>
      </w:r>
      <w:r w:rsidR="000B7936" w:rsidRPr="000B7936">
        <w:rPr>
          <w:rFonts w:ascii="Times New Roman" w:hAnsi="Times New Roman" w:cs="Times New Roman"/>
          <w:sz w:val="24"/>
          <w:szCs w:val="24"/>
        </w:rPr>
        <w:t>Faraday’s</w:t>
      </w:r>
      <w:r w:rsidRPr="000B7936">
        <w:rPr>
          <w:rFonts w:ascii="Times New Roman" w:hAnsi="Times New Roman" w:cs="Times New Roman"/>
          <w:sz w:val="24"/>
          <w:szCs w:val="24"/>
        </w:rPr>
        <w:t xml:space="preserve"> law of electromagnetic induction,</w:t>
      </w:r>
    </w:p>
    <w:p w:rsidR="000B7936" w:rsidRDefault="000B7936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  <w:t>E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7936">
        <w:rPr>
          <w:rFonts w:ascii="Times New Roman" w:hAnsi="Times New Roman" w:cs="Times New Roman"/>
          <w:sz w:val="24"/>
          <w:szCs w:val="24"/>
        </w:rPr>
        <w:t xml:space="preserve"> </w:t>
      </w:r>
      <w:r w:rsidRPr="000B793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0B7936">
        <w:rPr>
          <w:rFonts w:ascii="Times New Roman" w:hAnsi="Times New Roman" w:cs="Times New Roman"/>
          <w:sz w:val="24"/>
          <w:szCs w:val="24"/>
        </w:rPr>
        <w:t xml:space="preserve"> N</w:t>
      </w:r>
      <w:r w:rsidRPr="000B793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B7936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0B7936">
        <w:rPr>
          <w:rFonts w:ascii="Times New Roman" w:hAnsi="Times New Roman" w:cs="Times New Roman"/>
          <w:sz w:val="24"/>
          <w:szCs w:val="24"/>
        </w:rPr>
        <w:t xml:space="preserve">) </w:t>
      </w:r>
      <w:r w:rsidRPr="000B7936"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936">
        <w:rPr>
          <w:rFonts w:ascii="Times New Roman" w:hAnsi="Times New Roman" w:cs="Times New Roman"/>
          <w:sz w:val="24"/>
          <w:szCs w:val="24"/>
        </w:rPr>
        <w:t>-------------------- (2)</w:t>
      </w:r>
    </w:p>
    <w:p w:rsidR="001A03A1" w:rsidRDefault="001A03A1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E5992B" wp14:editId="1F1E91CF">
            <wp:extent cx="5943600" cy="3466465"/>
            <wp:effectExtent l="0" t="0" r="0" b="63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082" b="6253"/>
                    <a:stretch/>
                  </pic:blipFill>
                  <pic:spPr>
                    <a:xfrm>
                      <a:off x="0" y="0"/>
                      <a:ext cx="594360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1A03A1" w:rsidRDefault="00765F60" w:rsidP="001A03A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 xml:space="preserve">Now, both coils are wound on the same magnetic core. So rate of change of flux will be also same for both coil. </w:t>
      </w:r>
    </w:p>
    <w:p w:rsidR="001A03A1" w:rsidRPr="001A03A1" w:rsidRDefault="001A03A1" w:rsidP="001A03A1">
      <w:p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  <w:t xml:space="preserve"> E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3A1">
        <w:rPr>
          <w:rFonts w:ascii="Times New Roman" w:hAnsi="Times New Roman" w:cs="Times New Roman"/>
          <w:sz w:val="24"/>
          <w:szCs w:val="24"/>
        </w:rPr>
        <w:t xml:space="preserve"> </w:t>
      </w:r>
      <w:r w:rsidRPr="001A03A1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1A03A1">
        <w:rPr>
          <w:rFonts w:ascii="Times New Roman" w:hAnsi="Times New Roman" w:cs="Times New Roman"/>
          <w:sz w:val="24"/>
          <w:szCs w:val="24"/>
        </w:rPr>
        <w:t xml:space="preserve"> N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A03A1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φ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1A03A1">
        <w:rPr>
          <w:rFonts w:ascii="Times New Roman" w:hAnsi="Times New Roman" w:cs="Times New Roman"/>
          <w:sz w:val="24"/>
          <w:szCs w:val="24"/>
        </w:rPr>
        <w:t xml:space="preserve">) </w:t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  <w:t>-------------------- (3)</w:t>
      </w:r>
    </w:p>
    <w:p w:rsidR="00000000" w:rsidRPr="001A03A1" w:rsidRDefault="00765F60" w:rsidP="001A03A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>The secondary inducted voltag</w:t>
      </w:r>
      <w:r w:rsidRPr="001A03A1">
        <w:rPr>
          <w:rFonts w:ascii="Times New Roman" w:hAnsi="Times New Roman" w:cs="Times New Roman"/>
          <w:sz w:val="24"/>
          <w:szCs w:val="24"/>
        </w:rPr>
        <w:t>e E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3A1">
        <w:rPr>
          <w:rFonts w:ascii="Times New Roman" w:hAnsi="Times New Roman" w:cs="Times New Roman"/>
          <w:sz w:val="24"/>
          <w:szCs w:val="24"/>
        </w:rPr>
        <w:t xml:space="preserve"> will be the voltage that actually appears at the secondary terminal.</w:t>
      </w:r>
    </w:p>
    <w:p w:rsidR="001A03A1" w:rsidRDefault="001A03A1" w:rsidP="001A03A1">
      <w:p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  <w:t xml:space="preserve"> E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3A1">
        <w:rPr>
          <w:rFonts w:ascii="Times New Roman" w:hAnsi="Times New Roman" w:cs="Times New Roman"/>
          <w:sz w:val="24"/>
          <w:szCs w:val="24"/>
        </w:rPr>
        <w:t xml:space="preserve"> = V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3A1">
        <w:rPr>
          <w:rFonts w:ascii="Times New Roman" w:hAnsi="Times New Roman" w:cs="Times New Roman"/>
          <w:sz w:val="24"/>
          <w:szCs w:val="24"/>
        </w:rPr>
        <w:t xml:space="preserve"> </w:t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  <w:t>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3A1">
        <w:rPr>
          <w:rFonts w:ascii="Times New Roman" w:hAnsi="Times New Roman" w:cs="Times New Roman"/>
          <w:sz w:val="24"/>
          <w:szCs w:val="24"/>
        </w:rPr>
        <w:t>(4)</w:t>
      </w:r>
    </w:p>
    <w:p w:rsidR="00000000" w:rsidRPr="001A03A1" w:rsidRDefault="00765F60" w:rsidP="001A03A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 xml:space="preserve">Solving Eqn. 2 and 3 we can say that, </w:t>
      </w:r>
    </w:p>
    <w:p w:rsidR="001A03A1" w:rsidRDefault="001A03A1" w:rsidP="001A03A1">
      <w:pPr>
        <w:jc w:val="both"/>
        <w:rPr>
          <w:rFonts w:ascii="Times New Roman" w:eastAsiaTheme="minorEastAsia" w:hAnsi="Times New Roman" w:cs="Times New Roman"/>
          <w:iCs/>
          <w:sz w:val="36"/>
          <w:szCs w:val="36"/>
        </w:rPr>
      </w:pP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E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Pr="001A03A1">
        <w:rPr>
          <w:rFonts w:ascii="Times New Roman" w:hAnsi="Times New Roman" w:cs="Times New Roman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den>
        </m:f>
      </m:oMath>
    </w:p>
    <w:p w:rsidR="001A03A1" w:rsidRPr="001A03A1" w:rsidRDefault="001A03A1" w:rsidP="001A03A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0000" w:rsidRPr="001A03A1" w:rsidRDefault="00765F60" w:rsidP="001A03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lastRenderedPageBreak/>
        <w:t>Numerically E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A03A1">
        <w:rPr>
          <w:rFonts w:ascii="Times New Roman" w:hAnsi="Times New Roman" w:cs="Times New Roman"/>
          <w:sz w:val="24"/>
          <w:szCs w:val="24"/>
        </w:rPr>
        <w:t xml:space="preserve"> equals to V</w:t>
      </w:r>
      <w:r w:rsidRPr="001A03A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A03A1">
        <w:rPr>
          <w:rFonts w:ascii="Times New Roman" w:hAnsi="Times New Roman" w:cs="Times New Roman"/>
          <w:sz w:val="24"/>
          <w:szCs w:val="24"/>
        </w:rPr>
        <w:t>. So,</w:t>
      </w:r>
    </w:p>
    <w:p w:rsidR="001A03A1" w:rsidRPr="001A03A1" w:rsidRDefault="001A03A1" w:rsidP="001A03A1">
      <w:pPr>
        <w:jc w:val="both"/>
        <w:rPr>
          <w:rFonts w:ascii="Times New Roman" w:hAnsi="Times New Roman" w:cs="Times New Roman"/>
          <w:sz w:val="36"/>
          <w:szCs w:val="36"/>
        </w:rPr>
      </w:pP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Pr="001A03A1">
        <w:rPr>
          <w:rFonts w:ascii="Times New Roman" w:hAnsi="Times New Roman" w:cs="Times New Roman"/>
          <w:sz w:val="36"/>
          <w:szCs w:val="36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den>
        </m:f>
      </m:oMath>
    </w:p>
    <w:p w:rsidR="00000000" w:rsidRPr="001A03A1" w:rsidRDefault="00765F60" w:rsidP="001A03A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</w:rPr>
        <w:t xml:space="preserve">Voltage Transformation Ratio, K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den>
        </m:f>
      </m:oMath>
      <w:r w:rsidRPr="001A03A1">
        <w:rPr>
          <w:rFonts w:ascii="Times New Roman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</m:den>
        </m:f>
      </m:oMath>
      <w:r w:rsidRPr="001A03A1">
        <w:rPr>
          <w:rFonts w:ascii="Times New Roman" w:hAnsi="Times New Roman" w:cs="Times New Roman"/>
          <w:sz w:val="36"/>
          <w:szCs w:val="36"/>
        </w:rPr>
        <w:tab/>
      </w:r>
      <w:r w:rsidRPr="001A03A1">
        <w:rPr>
          <w:rFonts w:ascii="Times New Roman" w:hAnsi="Times New Roman" w:cs="Times New Roman"/>
          <w:sz w:val="24"/>
          <w:szCs w:val="24"/>
        </w:rPr>
        <w:tab/>
      </w:r>
    </w:p>
    <w:p w:rsidR="001A03A1" w:rsidRPr="001A03A1" w:rsidRDefault="001A03A1" w:rsidP="001A0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3A1" w:rsidRPr="000B7936" w:rsidRDefault="001A03A1" w:rsidP="000B7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936" w:rsidRDefault="001A03A1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 w:rsidRPr="001A03A1">
        <w:rPr>
          <w:rFonts w:ascii="Times New Roman" w:hAnsi="Times New Roman" w:cs="Times New Roman"/>
          <w:sz w:val="24"/>
          <w:szCs w:val="24"/>
          <w:u w:val="single"/>
        </w:rPr>
        <w:t>Reference Book:</w:t>
      </w:r>
    </w:p>
    <w:p w:rsidR="001A03A1" w:rsidRDefault="001A03A1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03A1">
        <w:rPr>
          <w:rFonts w:ascii="Times New Roman" w:hAnsi="Times New Roman" w:cs="Times New Roman"/>
          <w:sz w:val="24"/>
          <w:szCs w:val="24"/>
        </w:rPr>
        <w:t>Principles of Electrical Machines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1A03A1">
        <w:rPr>
          <w:rFonts w:ascii="Times New Roman" w:hAnsi="Times New Roman" w:cs="Times New Roman"/>
          <w:sz w:val="24"/>
          <w:szCs w:val="24"/>
        </w:rPr>
        <w:t>V.K Mehta &amp; Rohit Mehta</w:t>
      </w:r>
      <w:r>
        <w:rPr>
          <w:rFonts w:ascii="Times New Roman" w:hAnsi="Times New Roman" w:cs="Times New Roman"/>
          <w:sz w:val="24"/>
          <w:szCs w:val="24"/>
        </w:rPr>
        <w:t xml:space="preserve"> (Chapter 7; Article 7.4)</w:t>
      </w:r>
    </w:p>
    <w:p w:rsidR="001A03A1" w:rsidRPr="001A03A1" w:rsidRDefault="001A03A1" w:rsidP="000B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Direct and Alternating Current Machinery by Rosenblat &amp; Friedman (</w:t>
      </w:r>
      <w:r w:rsidR="000B5D8E">
        <w:rPr>
          <w:rFonts w:ascii="Times New Roman" w:hAnsi="Times New Roman" w:cs="Times New Roman"/>
          <w:sz w:val="24"/>
          <w:szCs w:val="24"/>
        </w:rPr>
        <w:t>Chapter 14; Article 14.3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1A03A1" w:rsidRPr="001A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60" w:rsidRDefault="00765F60" w:rsidP="000B7936">
      <w:pPr>
        <w:spacing w:after="0" w:line="240" w:lineRule="auto"/>
      </w:pPr>
      <w:r>
        <w:separator/>
      </w:r>
    </w:p>
  </w:endnote>
  <w:endnote w:type="continuationSeparator" w:id="0">
    <w:p w:rsidR="00765F60" w:rsidRDefault="00765F60" w:rsidP="000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60" w:rsidRDefault="00765F60" w:rsidP="000B7936">
      <w:pPr>
        <w:spacing w:after="0" w:line="240" w:lineRule="auto"/>
      </w:pPr>
      <w:r>
        <w:separator/>
      </w:r>
    </w:p>
  </w:footnote>
  <w:footnote w:type="continuationSeparator" w:id="0">
    <w:p w:rsidR="00765F60" w:rsidRDefault="00765F60" w:rsidP="000B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4DB"/>
    <w:multiLevelType w:val="hybridMultilevel"/>
    <w:tmpl w:val="7C2AFD18"/>
    <w:lvl w:ilvl="0" w:tplc="3930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2E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0D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E8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54359"/>
    <w:multiLevelType w:val="hybridMultilevel"/>
    <w:tmpl w:val="BADC27F8"/>
    <w:lvl w:ilvl="0" w:tplc="D6E4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0C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9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BA04F1"/>
    <w:multiLevelType w:val="hybridMultilevel"/>
    <w:tmpl w:val="8A36B90C"/>
    <w:lvl w:ilvl="0" w:tplc="91305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A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A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C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DD3D43"/>
    <w:multiLevelType w:val="hybridMultilevel"/>
    <w:tmpl w:val="0CC086BE"/>
    <w:lvl w:ilvl="0" w:tplc="C428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E2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0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E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A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B2D0C"/>
    <w:multiLevelType w:val="hybridMultilevel"/>
    <w:tmpl w:val="E2A45F46"/>
    <w:lvl w:ilvl="0" w:tplc="54D8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5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80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4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A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26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0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F1357C"/>
    <w:multiLevelType w:val="hybridMultilevel"/>
    <w:tmpl w:val="3F10929C"/>
    <w:lvl w:ilvl="0" w:tplc="E4EC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C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2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E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C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3D7682"/>
    <w:multiLevelType w:val="hybridMultilevel"/>
    <w:tmpl w:val="30EC185A"/>
    <w:lvl w:ilvl="0" w:tplc="7E82D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26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C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AA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2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6"/>
    <w:rsid w:val="000B5D8E"/>
    <w:rsid w:val="000B7936"/>
    <w:rsid w:val="001600BB"/>
    <w:rsid w:val="001A03A1"/>
    <w:rsid w:val="00765F60"/>
    <w:rsid w:val="00B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AC6B-50B5-4606-BF1C-F9F9C2CF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36"/>
  </w:style>
  <w:style w:type="paragraph" w:styleId="Footer">
    <w:name w:val="footer"/>
    <w:basedOn w:val="Normal"/>
    <w:link w:val="FooterChar"/>
    <w:uiPriority w:val="99"/>
    <w:unhideWhenUsed/>
    <w:rsid w:val="000B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36"/>
  </w:style>
  <w:style w:type="paragraph" w:styleId="ListParagraph">
    <w:name w:val="List Paragraph"/>
    <w:basedOn w:val="Normal"/>
    <w:uiPriority w:val="34"/>
    <w:qFormat/>
    <w:rsid w:val="001A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2020-04-01T05:57:00Z</dcterms:created>
  <dcterms:modified xsi:type="dcterms:W3CDTF">2020-04-01T06:48:00Z</dcterms:modified>
</cp:coreProperties>
</file>